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31" w:rsidRDefault="00586F31" w:rsidP="00DA0D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67E83">
        <w:rPr>
          <w:rFonts w:ascii="Times New Roman" w:hAnsi="Times New Roman" w:cs="Times New Roman"/>
          <w:sz w:val="28"/>
          <w:szCs w:val="28"/>
        </w:rPr>
        <w:t xml:space="preserve"> №</w:t>
      </w:r>
      <w:r w:rsidR="004878C9">
        <w:rPr>
          <w:rFonts w:ascii="Times New Roman" w:hAnsi="Times New Roman" w:cs="Times New Roman"/>
          <w:sz w:val="28"/>
          <w:szCs w:val="28"/>
        </w:rPr>
        <w:t>6</w:t>
      </w:r>
    </w:p>
    <w:p w:rsidR="00586F31" w:rsidRDefault="00586F31" w:rsidP="00DA0D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EEB" w:rsidRDefault="00785EEB" w:rsidP="00855C4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F31" w:rsidRPr="002D4464" w:rsidRDefault="00586F31" w:rsidP="00855C4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64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EA4916" w:rsidRDefault="00EA4916" w:rsidP="00A57D2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EA4916">
        <w:rPr>
          <w:rFonts w:ascii="Times New Roman" w:hAnsi="Times New Roman" w:cs="Times New Roman"/>
          <w:b/>
          <w:sz w:val="28"/>
          <w:szCs w:val="28"/>
        </w:rPr>
        <w:t xml:space="preserve">а оказание срочных социальных услуг гражданам, </w:t>
      </w:r>
    </w:p>
    <w:p w:rsidR="00EA4916" w:rsidRDefault="00EA4916" w:rsidP="00A57D2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4916">
        <w:rPr>
          <w:rFonts w:ascii="Times New Roman" w:hAnsi="Times New Roman" w:cs="Times New Roman"/>
          <w:b/>
          <w:sz w:val="28"/>
          <w:szCs w:val="28"/>
        </w:rPr>
        <w:t>оказавшимся в трудной жизненной ситуации</w:t>
      </w:r>
      <w:r w:rsidRPr="001612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A57D2F" w:rsidRPr="00A57D2F" w:rsidRDefault="00A57D2F" w:rsidP="00A57D2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EEB" w:rsidRPr="00EB3945" w:rsidRDefault="00586F31" w:rsidP="00F73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0E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>1.Категории получателей социальных услуг</w:t>
      </w:r>
      <w:r w:rsidRPr="00EB3945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>:</w:t>
      </w:r>
      <w:r w:rsidR="00A57D2F" w:rsidRPr="00EB3945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 xml:space="preserve"> </w:t>
      </w:r>
      <w:r w:rsidR="00A57D2F" w:rsidRPr="00EB3945">
        <w:rPr>
          <w:rFonts w:ascii="Times New Roman" w:hAnsi="Times New Roman" w:cs="Times New Roman"/>
          <w:sz w:val="28"/>
          <w:szCs w:val="28"/>
        </w:rPr>
        <w:t>граждане</w:t>
      </w:r>
      <w:r w:rsidR="00F7338E" w:rsidRPr="00EB3945">
        <w:rPr>
          <w:rFonts w:ascii="Times New Roman" w:hAnsi="Times New Roman" w:cs="Times New Roman"/>
          <w:sz w:val="28"/>
          <w:szCs w:val="28"/>
        </w:rPr>
        <w:t>, оказавшиеся в трудной жизненной ситуации</w:t>
      </w:r>
      <w:r w:rsidR="00A57D2F" w:rsidRPr="00EB3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F5D" w:rsidRPr="00EB3945" w:rsidRDefault="00586F31" w:rsidP="00A57D2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EB3945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>2. Форма социального обслуживания:</w:t>
      </w:r>
      <w:r w:rsidR="00DA0D7D" w:rsidRPr="00EB394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п</w:t>
      </w:r>
      <w:r w:rsidRPr="00EB394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олустационарная форма социального обслуживания</w:t>
      </w:r>
      <w:r w:rsidR="00A57D2F" w:rsidRPr="00EB394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  <w:r w:rsidRPr="00EB394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</w:p>
    <w:p w:rsidR="00785EEB" w:rsidRPr="00EB3945" w:rsidRDefault="00785EEB" w:rsidP="00A57D2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2D4548" w:rsidRPr="00EB3945" w:rsidRDefault="00586F31" w:rsidP="00A57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45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>3.</w:t>
      </w:r>
      <w:r w:rsidRPr="00EB394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EB3945">
        <w:rPr>
          <w:rFonts w:ascii="Times New Roman" w:hAnsi="Times New Roman" w:cs="Times New Roman"/>
          <w:b/>
          <w:sz w:val="28"/>
          <w:szCs w:val="28"/>
        </w:rPr>
        <w:t xml:space="preserve">Общее количество обслуживаемых граждан </w:t>
      </w:r>
      <w:r w:rsidR="00DA0D7D" w:rsidRPr="00EB3945">
        <w:rPr>
          <w:rFonts w:ascii="Times New Roman" w:hAnsi="Times New Roman" w:cs="Times New Roman"/>
          <w:b/>
          <w:sz w:val="28"/>
          <w:szCs w:val="28"/>
        </w:rPr>
        <w:t>в</w:t>
      </w:r>
      <w:r w:rsidRPr="00EB3945">
        <w:rPr>
          <w:rFonts w:ascii="Times New Roman" w:hAnsi="Times New Roman" w:cs="Times New Roman"/>
          <w:sz w:val="28"/>
          <w:szCs w:val="28"/>
        </w:rPr>
        <w:t xml:space="preserve"> </w:t>
      </w:r>
      <w:r w:rsidR="00DA0D7D" w:rsidRPr="00EB3945">
        <w:rPr>
          <w:rFonts w:ascii="Times New Roman" w:hAnsi="Times New Roman" w:cs="Times New Roman"/>
          <w:sz w:val="28"/>
          <w:szCs w:val="28"/>
        </w:rPr>
        <w:t xml:space="preserve">– </w:t>
      </w:r>
      <w:r w:rsidR="00BF0C4B" w:rsidRPr="00EB3945">
        <w:rPr>
          <w:rFonts w:ascii="Times New Roman" w:hAnsi="Times New Roman" w:cs="Times New Roman"/>
          <w:sz w:val="28"/>
          <w:szCs w:val="28"/>
        </w:rPr>
        <w:t>2</w:t>
      </w:r>
      <w:r w:rsidR="00352CEB" w:rsidRPr="00EB3945">
        <w:rPr>
          <w:rFonts w:ascii="Times New Roman" w:hAnsi="Times New Roman" w:cs="Times New Roman"/>
          <w:sz w:val="28"/>
          <w:szCs w:val="28"/>
        </w:rPr>
        <w:t>0</w:t>
      </w:r>
      <w:r w:rsidR="00DA0D7D" w:rsidRPr="00EB3945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785EEB" w:rsidRPr="00EB3945" w:rsidRDefault="00785EEB" w:rsidP="00A57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F31" w:rsidRDefault="00586F31" w:rsidP="00A57D2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EB3945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>4. С</w:t>
      </w:r>
      <w:r w:rsidRPr="00EB3945">
        <w:rPr>
          <w:rFonts w:ascii="Times New Roman" w:hAnsi="Times New Roman" w:cs="Times New Roman"/>
          <w:b/>
          <w:sz w:val="28"/>
          <w:szCs w:val="28"/>
        </w:rPr>
        <w:t xml:space="preserve">реднемесячное количество получателей социальных услуг, </w:t>
      </w:r>
      <w:r w:rsidR="00DA0D7D" w:rsidRPr="00EB3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945">
        <w:rPr>
          <w:rFonts w:ascii="Times New Roman" w:hAnsi="Times New Roman" w:cs="Times New Roman"/>
          <w:b/>
          <w:sz w:val="28"/>
          <w:szCs w:val="28"/>
        </w:rPr>
        <w:t xml:space="preserve">которым должно быть обеспечено предоставление социальных услуг </w:t>
      </w:r>
      <w:r w:rsidR="00DA0D7D" w:rsidRPr="00EB394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57D2F" w:rsidRPr="00EB3945">
        <w:rPr>
          <w:rFonts w:ascii="Times New Roman" w:hAnsi="Times New Roman" w:cs="Times New Roman"/>
          <w:sz w:val="28"/>
          <w:szCs w:val="28"/>
        </w:rPr>
        <w:t>10</w:t>
      </w:r>
      <w:r w:rsidR="00DA0D7D" w:rsidRPr="00EB394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чел.</w:t>
      </w:r>
    </w:p>
    <w:p w:rsidR="00785EEB" w:rsidRPr="005131AA" w:rsidRDefault="00785EEB" w:rsidP="00A57D2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586F31" w:rsidRDefault="00586F31" w:rsidP="00A57D2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73370E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>5. Территория предоставления социальных услуг:</w:t>
      </w:r>
      <w:r w:rsidR="00DA0D7D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 xml:space="preserve"> </w:t>
      </w:r>
      <w:r w:rsidRPr="005131AA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Ханты-Мансийский автономный округ, город </w:t>
      </w:r>
      <w:r w:rsidR="00A57D2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Урай</w:t>
      </w:r>
      <w:r w:rsidRPr="005131AA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:rsidR="00785EEB" w:rsidRDefault="00785EEB" w:rsidP="00A57D2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586F31" w:rsidRDefault="00586F31" w:rsidP="00A57D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</w:pPr>
      <w:r w:rsidRPr="0073370E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>6. Требования к помещениям:</w:t>
      </w:r>
    </w:p>
    <w:p w:rsidR="00A57D2F" w:rsidRDefault="00586F31" w:rsidP="00A57D2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A57D2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6.1.Помещения для пребывания людей и предоставления услуг должны соответствовать требованиям СП 2.1.2.3358-16 "Санитарно-эпидемиологические требования к размещению, устройству, оборудованию, содержанию, санитарно-гигиеническому и</w:t>
      </w:r>
      <w:r w:rsidR="00463450" w:rsidRPr="00A57D2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 </w:t>
      </w:r>
      <w:r w:rsidRPr="00A57D2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противоэпидемическому режиму работы организаций социального обслуживания», постановления Правительства РФ от 25.04.2012 № 390 «О противопожарном режиме», Федерального  закона РФ от 22.07.2008 № 123-ФЗ «Технический регламент о требованиях пожарной безопасности», Постановления Правительства РФ от 25 декабря 2013 № 1244 "Об антитеррористической защищенности объектов </w:t>
      </w:r>
      <w:r w:rsidR="00463450" w:rsidRPr="00A57D2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(территорий)" (</w:t>
      </w:r>
      <w:r w:rsidRPr="00A57D2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 изм.  от 04.08.2017 № 931)</w:t>
      </w:r>
      <w:r w:rsidR="00D52F5D" w:rsidRPr="00A57D2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 СП 59.13330.2016 «Доступность зданий и сооружений для маломобильных групп населения», утвержденных приказом Министерства строительства и жилищно-коммунального хозяйства Российской Ф</w:t>
      </w:r>
      <w:r w:rsidR="00A57D2F" w:rsidRPr="00A57D2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едерации от 14.11.2016 № 798/</w:t>
      </w:r>
      <w:proofErr w:type="spellStart"/>
      <w:proofErr w:type="gramStart"/>
      <w:r w:rsidR="00A57D2F" w:rsidRPr="00A57D2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пр</w:t>
      </w:r>
      <w:proofErr w:type="spellEnd"/>
      <w:proofErr w:type="gramEnd"/>
      <w:r w:rsidR="00A57D2F" w:rsidRPr="00A57D2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 постановлению правительства Ханты-Мансийского автономного округа – Югры от 6 сентября 2014 г. № 326-п «О порядке предоставления социальных услуг поставщиками социальных услуг в Ханты-Мансийском автономном округе – Югре»</w:t>
      </w:r>
      <w:r w:rsidR="00A57D2F">
        <w:rPr>
          <w:rStyle w:val="aa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footnoteReference w:id="1"/>
      </w:r>
      <w:r w:rsidR="00A57D2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:rsidR="00A57D2F" w:rsidRPr="00966834" w:rsidRDefault="00A57D2F" w:rsidP="00A57D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670098" w:rsidRPr="00D52F5D" w:rsidRDefault="00670098" w:rsidP="00A57D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2F5D">
        <w:rPr>
          <w:rFonts w:ascii="Times New Roman" w:hAnsi="Times New Roman"/>
          <w:b/>
          <w:sz w:val="28"/>
          <w:szCs w:val="28"/>
        </w:rPr>
        <w:t xml:space="preserve">7. Требования к </w:t>
      </w:r>
      <w:r w:rsidR="00966834" w:rsidRPr="00D52F5D">
        <w:rPr>
          <w:rFonts w:ascii="Times New Roman" w:hAnsi="Times New Roman"/>
          <w:b/>
          <w:sz w:val="28"/>
          <w:szCs w:val="28"/>
        </w:rPr>
        <w:t>прилегающей территории:</w:t>
      </w:r>
    </w:p>
    <w:p w:rsidR="00670098" w:rsidRPr="00966834" w:rsidRDefault="00966834" w:rsidP="00A57D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</w:pPr>
      <w:r w:rsidRPr="0096683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70098" w:rsidRPr="00966834">
        <w:rPr>
          <w:rFonts w:ascii="Times New Roman" w:hAnsi="Times New Roman"/>
          <w:sz w:val="28"/>
          <w:szCs w:val="28"/>
        </w:rPr>
        <w:t xml:space="preserve">транспортная доступность (возможность доехать до </w:t>
      </w:r>
      <w:r w:rsidRPr="00966834">
        <w:rPr>
          <w:rFonts w:ascii="Times New Roman" w:hAnsi="Times New Roman"/>
          <w:sz w:val="28"/>
          <w:szCs w:val="28"/>
        </w:rPr>
        <w:t>поставщика социальных услуг</w:t>
      </w:r>
      <w:r w:rsidR="00670098" w:rsidRPr="00966834">
        <w:rPr>
          <w:rFonts w:ascii="Times New Roman" w:hAnsi="Times New Roman"/>
          <w:sz w:val="28"/>
          <w:szCs w:val="28"/>
        </w:rPr>
        <w:t xml:space="preserve"> на общественном транспорте, наличие парковки)</w:t>
      </w:r>
      <w:r w:rsidR="00A57D2F">
        <w:rPr>
          <w:rFonts w:ascii="Times New Roman" w:hAnsi="Times New Roman"/>
          <w:sz w:val="28"/>
          <w:szCs w:val="28"/>
        </w:rPr>
        <w:t>.</w:t>
      </w:r>
    </w:p>
    <w:p w:rsidR="002A7709" w:rsidRDefault="002A7709" w:rsidP="002A7709">
      <w:pPr>
        <w:spacing w:after="0" w:line="240" w:lineRule="auto"/>
        <w:ind w:firstLine="709"/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</w:pPr>
    </w:p>
    <w:p w:rsidR="00586F31" w:rsidRPr="002A7709" w:rsidRDefault="002A7709" w:rsidP="002A7709">
      <w:pPr>
        <w:spacing w:after="0" w:line="240" w:lineRule="auto"/>
        <w:ind w:firstLine="709"/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>8. П</w:t>
      </w:r>
      <w:r w:rsidR="00586F31" w:rsidRPr="002A7709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>еречень, объем социальных услуг, показатель среднего количества социальных услуг в месяц на одного получателя, показатели качества и результативности предоставления социальных услуг</w:t>
      </w:r>
    </w:p>
    <w:p w:rsidR="00855C4B" w:rsidRPr="002A7709" w:rsidRDefault="00855C4B" w:rsidP="002A7709">
      <w:pPr>
        <w:spacing w:after="0" w:line="240" w:lineRule="auto"/>
        <w:ind w:firstLine="709"/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</w:pPr>
    </w:p>
    <w:p w:rsidR="008A1158" w:rsidRDefault="00786A8D" w:rsidP="002A7709">
      <w:pPr>
        <w:pStyle w:val="ConsPlusNormal"/>
        <w:rPr>
          <w:b/>
        </w:rPr>
      </w:pPr>
      <w:r w:rsidRPr="002A7709">
        <w:rPr>
          <w:b/>
        </w:rPr>
        <w:t xml:space="preserve">Обслуживаемая </w:t>
      </w:r>
      <w:r w:rsidRPr="00EB3945">
        <w:rPr>
          <w:b/>
        </w:rPr>
        <w:t xml:space="preserve">категория: </w:t>
      </w:r>
      <w:r w:rsidR="004615CD" w:rsidRPr="00EB3945">
        <w:rPr>
          <w:sz w:val="28"/>
          <w:szCs w:val="28"/>
        </w:rPr>
        <w:t>граждане, оказавшиеся в трудной жизненной ситуации</w:t>
      </w:r>
      <w:bookmarkStart w:id="0" w:name="_GoBack"/>
      <w:bookmarkEnd w:id="0"/>
      <w:r w:rsidR="004615CD" w:rsidRPr="00855C4B">
        <w:rPr>
          <w:b/>
        </w:rPr>
        <w:t xml:space="preserve"> </w:t>
      </w:r>
      <w:r w:rsidR="00692E24" w:rsidRPr="00855C4B">
        <w:rPr>
          <w:b/>
        </w:rPr>
        <w:t xml:space="preserve">Расчетный период – </w:t>
      </w:r>
      <w:r w:rsidR="00E87AFD">
        <w:rPr>
          <w:b/>
        </w:rPr>
        <w:t>с 15.11.2021 -31.12.2021</w:t>
      </w:r>
    </w:p>
    <w:p w:rsidR="00E87AFD" w:rsidRDefault="00E87AFD" w:rsidP="002A7709">
      <w:pPr>
        <w:pStyle w:val="ConsPlusNormal"/>
        <w:rPr>
          <w:b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145"/>
        <w:gridCol w:w="973"/>
        <w:gridCol w:w="992"/>
        <w:gridCol w:w="1560"/>
        <w:gridCol w:w="4110"/>
      </w:tblGrid>
      <w:tr w:rsidR="008A1158" w:rsidRPr="00785EEB" w:rsidTr="003E3222">
        <w:tc>
          <w:tcPr>
            <w:tcW w:w="534" w:type="dxa"/>
          </w:tcPr>
          <w:p w:rsidR="008A1158" w:rsidRPr="00785EEB" w:rsidRDefault="008A1158" w:rsidP="005A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785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85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45" w:type="dxa"/>
          </w:tcPr>
          <w:p w:rsidR="008A1158" w:rsidRPr="00785EEB" w:rsidRDefault="008A1158" w:rsidP="005A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социальной услуги (в соответствии с законом автономного округа от 19.11.2014 № 93-оз)</w:t>
            </w:r>
          </w:p>
        </w:tc>
        <w:tc>
          <w:tcPr>
            <w:tcW w:w="973" w:type="dxa"/>
          </w:tcPr>
          <w:p w:rsidR="008A1158" w:rsidRPr="00785EEB" w:rsidRDefault="008A1158" w:rsidP="005A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Стандартная норма времени на единицу измерения, мин. (326-п)</w:t>
            </w:r>
          </w:p>
        </w:tc>
        <w:tc>
          <w:tcPr>
            <w:tcW w:w="992" w:type="dxa"/>
          </w:tcPr>
          <w:p w:rsidR="008A1158" w:rsidRPr="008A1158" w:rsidRDefault="008A1158" w:rsidP="005A7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1158">
              <w:rPr>
                <w:rFonts w:ascii="Times New Roman" w:hAnsi="Times New Roman" w:cs="Times New Roman"/>
                <w:szCs w:val="24"/>
              </w:rPr>
              <w:t>Среднее количество оказанных социальных услуг</w:t>
            </w:r>
          </w:p>
          <w:p w:rsidR="008A1158" w:rsidRPr="008A1158" w:rsidRDefault="008A1158" w:rsidP="005A70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A1158">
              <w:rPr>
                <w:rFonts w:ascii="Times New Roman" w:hAnsi="Times New Roman" w:cs="Times New Roman"/>
                <w:szCs w:val="24"/>
              </w:rPr>
              <w:t>в месяц</w:t>
            </w:r>
          </w:p>
        </w:tc>
        <w:tc>
          <w:tcPr>
            <w:tcW w:w="1560" w:type="dxa"/>
          </w:tcPr>
          <w:p w:rsidR="008A1158" w:rsidRPr="00785EEB" w:rsidRDefault="008A1158" w:rsidP="005A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предоставления социальной услуги</w:t>
            </w:r>
          </w:p>
        </w:tc>
        <w:tc>
          <w:tcPr>
            <w:tcW w:w="4110" w:type="dxa"/>
          </w:tcPr>
          <w:p w:rsidR="008A1158" w:rsidRPr="00785EEB" w:rsidRDefault="008A1158" w:rsidP="005A70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качества и оценка результатов предоставления социальной услуги</w:t>
            </w:r>
          </w:p>
          <w:p w:rsidR="008A1158" w:rsidRPr="00785EEB" w:rsidRDefault="008A1158" w:rsidP="005A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58" w:rsidRPr="00785EEB" w:rsidTr="005A7068">
        <w:tc>
          <w:tcPr>
            <w:tcW w:w="534" w:type="dxa"/>
          </w:tcPr>
          <w:p w:rsidR="008A1158" w:rsidRPr="00785EEB" w:rsidRDefault="008A1158" w:rsidP="005A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5"/>
          </w:tcPr>
          <w:p w:rsidR="008A1158" w:rsidRPr="00785EEB" w:rsidRDefault="00E87AFD" w:rsidP="005A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срочные социальные</w:t>
            </w:r>
            <w:r w:rsidR="008A1158" w:rsidRPr="00785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</w:t>
            </w:r>
          </w:p>
        </w:tc>
      </w:tr>
      <w:tr w:rsidR="008A1158" w:rsidRPr="00785EEB" w:rsidTr="003E3222">
        <w:tc>
          <w:tcPr>
            <w:tcW w:w="534" w:type="dxa"/>
          </w:tcPr>
          <w:p w:rsidR="008A1158" w:rsidRPr="00785EEB" w:rsidRDefault="008A1158" w:rsidP="005A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8A1158" w:rsidRPr="00785EEB" w:rsidRDefault="003E38D0" w:rsidP="005A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продуктовым набором</w:t>
            </w:r>
          </w:p>
        </w:tc>
        <w:tc>
          <w:tcPr>
            <w:tcW w:w="973" w:type="dxa"/>
          </w:tcPr>
          <w:p w:rsidR="008A1158" w:rsidRPr="00785EEB" w:rsidRDefault="003E38D0" w:rsidP="003E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1158" w:rsidRPr="00785EEB" w:rsidRDefault="008222C6" w:rsidP="005A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наборов</w:t>
            </w:r>
          </w:p>
          <w:p w:rsidR="008A1158" w:rsidRPr="00785EEB" w:rsidRDefault="008A1158" w:rsidP="005A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158" w:rsidRPr="00785EEB" w:rsidRDefault="008A1158" w:rsidP="00C1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EB">
              <w:rPr>
                <w:rFonts w:ascii="Times New Roman" w:hAnsi="Times New Roman" w:cs="Times New Roman"/>
                <w:sz w:val="24"/>
                <w:szCs w:val="24"/>
              </w:rPr>
              <w:t>Помещения должны отвечать действующим санитарно-гигиеническим требованиям и нормативам, в т.ч. противопожарным требованиям</w:t>
            </w:r>
            <w:r w:rsidR="00822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8A1158" w:rsidRDefault="0085277F" w:rsidP="005A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A0D74">
              <w:rPr>
                <w:rFonts w:ascii="Times New Roman" w:hAnsi="Times New Roman" w:cs="Times New Roman"/>
                <w:sz w:val="24"/>
                <w:szCs w:val="24"/>
              </w:rPr>
              <w:t>Консервы мясные в жестяной банке 338гр.- 3шт;</w:t>
            </w:r>
          </w:p>
          <w:p w:rsidR="000A0D74" w:rsidRDefault="0085277F" w:rsidP="005A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A0D74">
              <w:rPr>
                <w:rFonts w:ascii="Times New Roman" w:hAnsi="Times New Roman" w:cs="Times New Roman"/>
                <w:sz w:val="24"/>
                <w:szCs w:val="24"/>
              </w:rPr>
              <w:t>Консервы рыбные в жестяной банке 250гр -</w:t>
            </w:r>
            <w:r w:rsidR="00EB6943">
              <w:rPr>
                <w:rFonts w:ascii="Times New Roman" w:hAnsi="Times New Roman" w:cs="Times New Roman"/>
                <w:sz w:val="24"/>
                <w:szCs w:val="24"/>
              </w:rPr>
              <w:t>3шт;</w:t>
            </w:r>
          </w:p>
          <w:p w:rsidR="00EB6943" w:rsidRDefault="0085277F" w:rsidP="005A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B6943">
              <w:rPr>
                <w:rFonts w:ascii="Times New Roman" w:hAnsi="Times New Roman" w:cs="Times New Roman"/>
                <w:sz w:val="24"/>
                <w:szCs w:val="24"/>
              </w:rPr>
              <w:t>Каша быстрого приготовления пачка 40гр – 6пачек;</w:t>
            </w:r>
          </w:p>
          <w:p w:rsidR="00EB6943" w:rsidRDefault="0085277F" w:rsidP="005A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</w:t>
            </w:r>
            <w:r w:rsidR="001B6EED">
              <w:rPr>
                <w:rFonts w:ascii="Times New Roman" w:hAnsi="Times New Roman" w:cs="Times New Roman"/>
                <w:sz w:val="24"/>
                <w:szCs w:val="24"/>
              </w:rPr>
              <w:t>акаронные изделия пачка 400гр – 2 пачки;</w:t>
            </w:r>
          </w:p>
          <w:p w:rsidR="001B6EED" w:rsidRDefault="0085277F" w:rsidP="005A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B6EED">
              <w:rPr>
                <w:rFonts w:ascii="Times New Roman" w:hAnsi="Times New Roman" w:cs="Times New Roman"/>
                <w:sz w:val="24"/>
                <w:szCs w:val="24"/>
              </w:rPr>
              <w:t xml:space="preserve">Крупа (гречневая, рисовая, овсяная) </w:t>
            </w:r>
            <w:r w:rsidR="001B3BDE">
              <w:rPr>
                <w:rFonts w:ascii="Times New Roman" w:hAnsi="Times New Roman" w:cs="Times New Roman"/>
                <w:sz w:val="24"/>
                <w:szCs w:val="24"/>
              </w:rPr>
              <w:t>упаковка 800гр.- 3пачки;</w:t>
            </w:r>
          </w:p>
          <w:p w:rsidR="001B3BDE" w:rsidRDefault="0085277F" w:rsidP="005A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003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3BDE">
              <w:rPr>
                <w:rFonts w:ascii="Times New Roman" w:hAnsi="Times New Roman" w:cs="Times New Roman"/>
                <w:sz w:val="24"/>
                <w:szCs w:val="24"/>
              </w:rPr>
              <w:t xml:space="preserve">олоко длительного хранения, </w:t>
            </w:r>
            <w:proofErr w:type="spellStart"/>
            <w:r w:rsidR="001B3BDE">
              <w:rPr>
                <w:rFonts w:ascii="Times New Roman" w:hAnsi="Times New Roman" w:cs="Times New Roman"/>
                <w:sz w:val="24"/>
                <w:szCs w:val="24"/>
              </w:rPr>
              <w:t>тетрапак</w:t>
            </w:r>
            <w:proofErr w:type="spellEnd"/>
            <w:r w:rsidR="001B3BD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72193">
              <w:rPr>
                <w:rFonts w:ascii="Times New Roman" w:hAnsi="Times New Roman" w:cs="Times New Roman"/>
                <w:sz w:val="24"/>
                <w:szCs w:val="24"/>
              </w:rPr>
              <w:t>литр – 3шт;</w:t>
            </w:r>
          </w:p>
          <w:p w:rsidR="00C72193" w:rsidRDefault="0085277F" w:rsidP="005A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00335">
              <w:rPr>
                <w:rFonts w:ascii="Times New Roman" w:hAnsi="Times New Roman" w:cs="Times New Roman"/>
                <w:sz w:val="24"/>
                <w:szCs w:val="24"/>
              </w:rPr>
              <w:t>Масло растительное (подсолнечное) 1литр -1бут.</w:t>
            </w:r>
          </w:p>
          <w:p w:rsidR="00400335" w:rsidRDefault="0085277F" w:rsidP="005A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8.Ч</w:t>
            </w:r>
            <w:r w:rsidR="00EB68DF">
              <w:rPr>
                <w:rFonts w:ascii="Times New Roman" w:hAnsi="Times New Roman" w:cs="Times New Roman"/>
                <w:sz w:val="24"/>
                <w:szCs w:val="24"/>
              </w:rPr>
              <w:t>ай черный в упаковке по 25пакетов -1упаковка;</w:t>
            </w:r>
          </w:p>
          <w:p w:rsidR="00EB68DF" w:rsidRDefault="0085277F" w:rsidP="0085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9.С</w:t>
            </w:r>
            <w:r w:rsidR="00EB68DF">
              <w:rPr>
                <w:rFonts w:ascii="Times New Roman" w:hAnsi="Times New Roman" w:cs="Times New Roman"/>
                <w:sz w:val="24"/>
                <w:szCs w:val="24"/>
              </w:rPr>
              <w:t>ахар рафинад, кусковой 500гр.-1пач</w:t>
            </w:r>
            <w:r w:rsidR="00842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259F" w:rsidRPr="00785EEB" w:rsidRDefault="0084259F" w:rsidP="0085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сгущенное в жестяной банке</w:t>
            </w:r>
            <w:r w:rsidR="000B21BF">
              <w:rPr>
                <w:rFonts w:ascii="Times New Roman" w:hAnsi="Times New Roman" w:cs="Times New Roman"/>
                <w:sz w:val="24"/>
                <w:szCs w:val="24"/>
              </w:rPr>
              <w:t xml:space="preserve"> 380гр.-1шт.</w:t>
            </w:r>
          </w:p>
        </w:tc>
      </w:tr>
      <w:tr w:rsidR="00AA261C" w:rsidRPr="00785EEB" w:rsidTr="003E3222">
        <w:tc>
          <w:tcPr>
            <w:tcW w:w="534" w:type="dxa"/>
          </w:tcPr>
          <w:p w:rsidR="00AA261C" w:rsidRPr="00785EEB" w:rsidRDefault="00AA261C" w:rsidP="005A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:rsidR="00AA261C" w:rsidRPr="00785EEB" w:rsidRDefault="00AA261C" w:rsidP="005A70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предметами первой необходимости</w:t>
            </w:r>
          </w:p>
        </w:tc>
        <w:tc>
          <w:tcPr>
            <w:tcW w:w="973" w:type="dxa"/>
          </w:tcPr>
          <w:p w:rsidR="00AA261C" w:rsidRPr="00785EEB" w:rsidRDefault="00AA261C" w:rsidP="005A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261C" w:rsidRPr="00785EEB" w:rsidRDefault="00AA261C" w:rsidP="005A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наборов</w:t>
            </w:r>
          </w:p>
        </w:tc>
        <w:tc>
          <w:tcPr>
            <w:tcW w:w="1560" w:type="dxa"/>
          </w:tcPr>
          <w:p w:rsidR="00AA261C" w:rsidRPr="00785EEB" w:rsidRDefault="00AA261C" w:rsidP="00797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EB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должны отвечать действующим санитарно-гигиеническим требованиям и нормативам, </w:t>
            </w:r>
            <w:r w:rsidRPr="00785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т.ч. противопожарным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AA261C" w:rsidRDefault="00AE4980" w:rsidP="005A70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Туалетная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мыло 100гр – 1шт</w:t>
            </w:r>
          </w:p>
          <w:p w:rsidR="00AE4980" w:rsidRDefault="00AE4980" w:rsidP="005A70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2.Хозяйственное мыло 200гр -1шт</w:t>
            </w:r>
          </w:p>
          <w:p w:rsidR="00AE4980" w:rsidRDefault="00AE4980" w:rsidP="005A70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3.Зубная щетка </w:t>
            </w:r>
            <w:r w:rsidR="007C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1шт</w:t>
            </w:r>
          </w:p>
          <w:p w:rsidR="007C2C36" w:rsidRDefault="007C2C36" w:rsidP="005A70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4.зубная паста 100мл. – 1шт</w:t>
            </w:r>
          </w:p>
          <w:p w:rsidR="007C2C36" w:rsidRDefault="007C2C36" w:rsidP="005A70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5.Шампунь для волос 250мл.</w:t>
            </w:r>
            <w:r w:rsidR="005D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-1шт</w:t>
            </w:r>
          </w:p>
          <w:p w:rsidR="005D64EA" w:rsidRPr="00785EEB" w:rsidRDefault="005D64EA" w:rsidP="005A70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6.Туалетная бумага - 4шт</w:t>
            </w:r>
          </w:p>
        </w:tc>
      </w:tr>
    </w:tbl>
    <w:p w:rsidR="008A1158" w:rsidRDefault="008A1158" w:rsidP="002A7709">
      <w:pPr>
        <w:pStyle w:val="ConsPlusNormal"/>
        <w:rPr>
          <w:b/>
        </w:rPr>
      </w:pPr>
    </w:p>
    <w:p w:rsidR="008A1158" w:rsidRDefault="008A1158" w:rsidP="002A7709">
      <w:pPr>
        <w:pStyle w:val="ConsPlusNormal"/>
        <w:rPr>
          <w:b/>
        </w:rPr>
      </w:pPr>
    </w:p>
    <w:p w:rsidR="00D92208" w:rsidRPr="00D92208" w:rsidRDefault="002A7709" w:rsidP="00D92208">
      <w:pPr>
        <w:pStyle w:val="ConsPlusNormal"/>
        <w:ind w:firstLine="709"/>
        <w:jc w:val="both"/>
        <w:rPr>
          <w:sz w:val="28"/>
        </w:rPr>
      </w:pPr>
      <w:r w:rsidRPr="002A7709">
        <w:rPr>
          <w:b/>
          <w:sz w:val="28"/>
        </w:rPr>
        <w:t>9.</w:t>
      </w:r>
      <w:r>
        <w:rPr>
          <w:sz w:val="28"/>
        </w:rPr>
        <w:t xml:space="preserve"> </w:t>
      </w:r>
      <w:r w:rsidR="00D92208" w:rsidRPr="002A7709">
        <w:rPr>
          <w:b/>
          <w:sz w:val="28"/>
        </w:rPr>
        <w:t>Конкурсная комиссия оценивает представленные документы Организации, допущенной к участию в конкурсном отборе, по следующим критериям их значимости</w:t>
      </w:r>
      <w:r w:rsidR="00D92208" w:rsidRPr="00D92208">
        <w:rPr>
          <w:sz w:val="28"/>
        </w:rPr>
        <w:t>:</w:t>
      </w:r>
    </w:p>
    <w:p w:rsidR="00D92208" w:rsidRPr="00D92208" w:rsidRDefault="00D92208" w:rsidP="00D92208">
      <w:pPr>
        <w:pStyle w:val="ConsPlusNormal"/>
        <w:ind w:firstLine="709"/>
        <w:jc w:val="both"/>
        <w:rPr>
          <w:sz w:val="28"/>
        </w:rPr>
      </w:pPr>
      <w:r w:rsidRPr="00D92208">
        <w:rPr>
          <w:sz w:val="28"/>
        </w:rPr>
        <w:t>1) численность персонала Организации, подразделений (филиалов) Организации, имеющего опыт работы в сфере социального обслуживания более 3 лет:</w:t>
      </w:r>
    </w:p>
    <w:p w:rsidR="00D92208" w:rsidRPr="00D92208" w:rsidRDefault="00D92208" w:rsidP="00D92208">
      <w:pPr>
        <w:pStyle w:val="ConsPlusNormal"/>
        <w:ind w:firstLine="709"/>
        <w:jc w:val="both"/>
        <w:rPr>
          <w:sz w:val="28"/>
        </w:rPr>
      </w:pPr>
      <w:r w:rsidRPr="00D92208">
        <w:rPr>
          <w:sz w:val="28"/>
        </w:rPr>
        <w:t>менее 15% от общей численности персонала - 0 баллов;</w:t>
      </w:r>
    </w:p>
    <w:p w:rsidR="00D92208" w:rsidRPr="00D92208" w:rsidRDefault="00D92208" w:rsidP="00D92208">
      <w:pPr>
        <w:pStyle w:val="ConsPlusNormal"/>
        <w:ind w:firstLine="709"/>
        <w:jc w:val="both"/>
        <w:rPr>
          <w:sz w:val="28"/>
        </w:rPr>
      </w:pPr>
      <w:r w:rsidRPr="00D92208">
        <w:rPr>
          <w:sz w:val="28"/>
        </w:rPr>
        <w:t>от 15 до 30% от общей численности персонала - 1 балл;</w:t>
      </w:r>
    </w:p>
    <w:p w:rsidR="00D92208" w:rsidRPr="00D92208" w:rsidRDefault="00D92208" w:rsidP="00D92208">
      <w:pPr>
        <w:pStyle w:val="ConsPlusNormal"/>
        <w:ind w:firstLine="709"/>
        <w:jc w:val="both"/>
        <w:rPr>
          <w:sz w:val="28"/>
        </w:rPr>
      </w:pPr>
      <w:r w:rsidRPr="00D92208">
        <w:rPr>
          <w:sz w:val="28"/>
        </w:rPr>
        <w:t>от 30 до 45% от общей численности персонала - 2 балла;</w:t>
      </w:r>
    </w:p>
    <w:p w:rsidR="00D92208" w:rsidRPr="00D92208" w:rsidRDefault="00D92208" w:rsidP="00D92208">
      <w:pPr>
        <w:pStyle w:val="ConsPlusNormal"/>
        <w:ind w:firstLine="709"/>
        <w:jc w:val="both"/>
        <w:rPr>
          <w:sz w:val="28"/>
        </w:rPr>
      </w:pPr>
      <w:r w:rsidRPr="00D92208">
        <w:rPr>
          <w:sz w:val="28"/>
        </w:rPr>
        <w:t>от 45 до 60% от общей численности персонала - 3 балла;</w:t>
      </w:r>
    </w:p>
    <w:p w:rsidR="00D92208" w:rsidRPr="00D92208" w:rsidRDefault="00D92208" w:rsidP="00D92208">
      <w:pPr>
        <w:pStyle w:val="ConsPlusNormal"/>
        <w:ind w:firstLine="709"/>
        <w:jc w:val="both"/>
        <w:rPr>
          <w:sz w:val="28"/>
        </w:rPr>
      </w:pPr>
      <w:r w:rsidRPr="00D92208">
        <w:rPr>
          <w:sz w:val="28"/>
        </w:rPr>
        <w:t>от 60 до 75% от общей численности персонала - 4 балла;</w:t>
      </w:r>
    </w:p>
    <w:p w:rsidR="00D92208" w:rsidRPr="00D92208" w:rsidRDefault="00D92208" w:rsidP="00D92208">
      <w:pPr>
        <w:pStyle w:val="ConsPlusNormal"/>
        <w:ind w:firstLine="709"/>
        <w:jc w:val="both"/>
        <w:rPr>
          <w:sz w:val="28"/>
        </w:rPr>
      </w:pPr>
      <w:r w:rsidRPr="00D92208">
        <w:rPr>
          <w:sz w:val="28"/>
        </w:rPr>
        <w:t>свыше 75% от общей численности персонала - 5 баллов;</w:t>
      </w:r>
    </w:p>
    <w:p w:rsidR="00D92208" w:rsidRPr="00D92208" w:rsidRDefault="00D92208" w:rsidP="00D92208">
      <w:pPr>
        <w:pStyle w:val="ConsPlusNormal"/>
        <w:ind w:firstLine="709"/>
        <w:jc w:val="both"/>
        <w:rPr>
          <w:sz w:val="28"/>
        </w:rPr>
      </w:pPr>
      <w:r w:rsidRPr="00D92208">
        <w:rPr>
          <w:sz w:val="28"/>
        </w:rPr>
        <w:t>2) доля работников, кроме административно-управленческого персонала, имеющих профильное образование, прошедших повышение квалификации (профессиональную переподготовку) по профилю социальной работы, курсы повышения квалификации за последние три года:</w:t>
      </w:r>
    </w:p>
    <w:p w:rsidR="00D92208" w:rsidRPr="00D92208" w:rsidRDefault="00D92208" w:rsidP="00D92208">
      <w:pPr>
        <w:pStyle w:val="ConsPlusNormal"/>
        <w:ind w:firstLine="709"/>
        <w:jc w:val="both"/>
        <w:rPr>
          <w:sz w:val="28"/>
        </w:rPr>
      </w:pPr>
      <w:r w:rsidRPr="00D92208">
        <w:rPr>
          <w:sz w:val="28"/>
        </w:rPr>
        <w:t>менее 10% от общей численности персонала - 0 баллов;</w:t>
      </w:r>
    </w:p>
    <w:p w:rsidR="00D92208" w:rsidRPr="00D92208" w:rsidRDefault="00D92208" w:rsidP="00D92208">
      <w:pPr>
        <w:pStyle w:val="ConsPlusNormal"/>
        <w:ind w:firstLine="709"/>
        <w:jc w:val="both"/>
        <w:rPr>
          <w:sz w:val="28"/>
        </w:rPr>
      </w:pPr>
      <w:r w:rsidRPr="00D92208">
        <w:rPr>
          <w:sz w:val="28"/>
        </w:rPr>
        <w:t>от 10 до 20% от общей численности персонала - 1 балл;</w:t>
      </w:r>
    </w:p>
    <w:p w:rsidR="00D92208" w:rsidRPr="00D92208" w:rsidRDefault="00D92208" w:rsidP="00D92208">
      <w:pPr>
        <w:pStyle w:val="ConsPlusNormal"/>
        <w:ind w:firstLine="709"/>
        <w:jc w:val="both"/>
        <w:rPr>
          <w:sz w:val="28"/>
        </w:rPr>
      </w:pPr>
      <w:r w:rsidRPr="00D92208">
        <w:rPr>
          <w:sz w:val="28"/>
        </w:rPr>
        <w:t>от 20 до 30% от общей численности персонала - 2 балла;</w:t>
      </w:r>
    </w:p>
    <w:p w:rsidR="00D92208" w:rsidRPr="00D92208" w:rsidRDefault="00D92208" w:rsidP="00D92208">
      <w:pPr>
        <w:pStyle w:val="ConsPlusNormal"/>
        <w:ind w:firstLine="709"/>
        <w:jc w:val="both"/>
        <w:rPr>
          <w:sz w:val="28"/>
        </w:rPr>
      </w:pPr>
      <w:r w:rsidRPr="00D92208">
        <w:rPr>
          <w:sz w:val="28"/>
        </w:rPr>
        <w:t>от 30 до 40% от общей численности персонала - 3 балла;</w:t>
      </w:r>
    </w:p>
    <w:p w:rsidR="00D92208" w:rsidRPr="00D92208" w:rsidRDefault="00D92208" w:rsidP="00D92208">
      <w:pPr>
        <w:pStyle w:val="ConsPlusNormal"/>
        <w:ind w:firstLine="709"/>
        <w:jc w:val="both"/>
        <w:rPr>
          <w:sz w:val="28"/>
        </w:rPr>
      </w:pPr>
      <w:r w:rsidRPr="00D92208">
        <w:rPr>
          <w:sz w:val="28"/>
        </w:rPr>
        <w:t>от 40 до 50% от общей численности персонала - 4 балла;</w:t>
      </w:r>
    </w:p>
    <w:p w:rsidR="00D92208" w:rsidRPr="00D92208" w:rsidRDefault="00D92208" w:rsidP="00D92208">
      <w:pPr>
        <w:pStyle w:val="ConsPlusNormal"/>
        <w:ind w:firstLine="709"/>
        <w:jc w:val="both"/>
        <w:rPr>
          <w:sz w:val="28"/>
        </w:rPr>
      </w:pPr>
      <w:r w:rsidRPr="00D92208">
        <w:rPr>
          <w:sz w:val="28"/>
        </w:rPr>
        <w:t>свыше 50% от общей численности персонала - 5 баллов;</w:t>
      </w:r>
    </w:p>
    <w:p w:rsidR="00D92208" w:rsidRPr="00D92208" w:rsidRDefault="00D92208" w:rsidP="00D92208">
      <w:pPr>
        <w:pStyle w:val="ConsPlusNormal"/>
        <w:ind w:firstLine="709"/>
        <w:jc w:val="both"/>
        <w:rPr>
          <w:sz w:val="28"/>
        </w:rPr>
      </w:pPr>
      <w:r w:rsidRPr="00D92208">
        <w:rPr>
          <w:sz w:val="28"/>
        </w:rPr>
        <w:t>3) доля оказываемых дополнительных услуг от общего количества услуг, входящих в перечень, предоставляемых Организацией:</w:t>
      </w:r>
    </w:p>
    <w:p w:rsidR="00D92208" w:rsidRPr="00D92208" w:rsidRDefault="00D92208" w:rsidP="00D92208">
      <w:pPr>
        <w:pStyle w:val="ConsPlusNormal"/>
        <w:ind w:firstLine="709"/>
        <w:jc w:val="both"/>
        <w:rPr>
          <w:sz w:val="28"/>
        </w:rPr>
      </w:pPr>
      <w:r w:rsidRPr="00D92208">
        <w:rPr>
          <w:sz w:val="28"/>
        </w:rPr>
        <w:t>не оказывает дополнительные услуги - 0 баллов;</w:t>
      </w:r>
    </w:p>
    <w:p w:rsidR="00D92208" w:rsidRPr="00D92208" w:rsidRDefault="00D92208" w:rsidP="00D92208">
      <w:pPr>
        <w:pStyle w:val="ConsPlusNormal"/>
        <w:ind w:firstLine="709"/>
        <w:jc w:val="both"/>
        <w:rPr>
          <w:sz w:val="28"/>
        </w:rPr>
      </w:pPr>
      <w:r w:rsidRPr="00D92208">
        <w:rPr>
          <w:sz w:val="28"/>
        </w:rPr>
        <w:t>менее 20% от - 1 баллов;</w:t>
      </w:r>
    </w:p>
    <w:p w:rsidR="00D92208" w:rsidRPr="00D92208" w:rsidRDefault="00D92208" w:rsidP="00D92208">
      <w:pPr>
        <w:pStyle w:val="ConsPlusNormal"/>
        <w:ind w:firstLine="709"/>
        <w:jc w:val="both"/>
        <w:rPr>
          <w:sz w:val="28"/>
        </w:rPr>
      </w:pPr>
      <w:r w:rsidRPr="00D92208">
        <w:rPr>
          <w:sz w:val="28"/>
        </w:rPr>
        <w:t>более 20% - 2 балла;</w:t>
      </w:r>
    </w:p>
    <w:p w:rsidR="00D92208" w:rsidRPr="00D92208" w:rsidRDefault="00D92208" w:rsidP="00D92208">
      <w:pPr>
        <w:pStyle w:val="ConsPlusNormal"/>
        <w:ind w:firstLine="709"/>
        <w:jc w:val="both"/>
        <w:rPr>
          <w:sz w:val="28"/>
        </w:rPr>
      </w:pPr>
      <w:r w:rsidRPr="00D92208">
        <w:rPr>
          <w:sz w:val="28"/>
        </w:rPr>
        <w:t>4) наличие официального сайта Организации в информационно-телекоммуникационной сети Интернет - 1 балл;</w:t>
      </w:r>
    </w:p>
    <w:p w:rsidR="00D92208" w:rsidRPr="00D92208" w:rsidRDefault="00D92208" w:rsidP="00D92208">
      <w:pPr>
        <w:pStyle w:val="ConsPlusNormal"/>
        <w:ind w:firstLine="709"/>
        <w:jc w:val="both"/>
        <w:rPr>
          <w:sz w:val="28"/>
        </w:rPr>
      </w:pPr>
      <w:r w:rsidRPr="00D92208">
        <w:rPr>
          <w:sz w:val="28"/>
        </w:rPr>
        <w:t>5) отсутствие жалоб на Организацию, поступивших в Депсоцразвития Югры - 0,5 баллов;</w:t>
      </w:r>
    </w:p>
    <w:p w:rsidR="00D92208" w:rsidRPr="00D92208" w:rsidRDefault="00D92208" w:rsidP="00D92208">
      <w:pPr>
        <w:pStyle w:val="ConsPlusNormal"/>
        <w:ind w:firstLine="709"/>
        <w:jc w:val="both"/>
        <w:rPr>
          <w:sz w:val="28"/>
        </w:rPr>
      </w:pPr>
      <w:r w:rsidRPr="00D92208">
        <w:rPr>
          <w:sz w:val="28"/>
        </w:rPr>
        <w:t>6) наличие лицензий в соответствии с требованиями, установленными в техническом задании:</w:t>
      </w:r>
    </w:p>
    <w:p w:rsidR="00D92208" w:rsidRPr="00D92208" w:rsidRDefault="00D92208" w:rsidP="00D92208">
      <w:pPr>
        <w:pStyle w:val="ConsPlusNormal"/>
        <w:ind w:firstLine="709"/>
        <w:jc w:val="both"/>
        <w:rPr>
          <w:sz w:val="28"/>
        </w:rPr>
      </w:pPr>
      <w:r w:rsidRPr="00D92208">
        <w:rPr>
          <w:sz w:val="28"/>
        </w:rPr>
        <w:t>на осуществление медицинской деятельности - 1 балл;</w:t>
      </w:r>
    </w:p>
    <w:p w:rsidR="00D92208" w:rsidRPr="00D92208" w:rsidRDefault="00D92208" w:rsidP="00D92208">
      <w:pPr>
        <w:pStyle w:val="ConsPlusNormal"/>
        <w:ind w:firstLine="709"/>
        <w:jc w:val="both"/>
        <w:rPr>
          <w:sz w:val="28"/>
        </w:rPr>
      </w:pPr>
      <w:r w:rsidRPr="00D92208">
        <w:rPr>
          <w:sz w:val="28"/>
        </w:rPr>
        <w:t>на осуществление образовательной деятельности - 1 балл;</w:t>
      </w:r>
    </w:p>
    <w:p w:rsidR="00D92208" w:rsidRDefault="00D92208" w:rsidP="00D92208">
      <w:pPr>
        <w:pStyle w:val="ConsPlusNormal"/>
        <w:ind w:firstLine="709"/>
        <w:jc w:val="both"/>
        <w:rPr>
          <w:sz w:val="28"/>
        </w:rPr>
      </w:pPr>
      <w:r w:rsidRPr="00D92208">
        <w:rPr>
          <w:sz w:val="28"/>
        </w:rPr>
        <w:t>7) наличие помещений, необходимых для оказания социальных услуг, отвечающих требованиям санитарно-гигиенических норм и правил противопожарной безопасности</w:t>
      </w:r>
      <w:r w:rsidR="002A7709">
        <w:rPr>
          <w:sz w:val="28"/>
        </w:rPr>
        <w:t xml:space="preserve"> </w:t>
      </w:r>
      <w:r w:rsidRPr="00D92208">
        <w:rPr>
          <w:sz w:val="28"/>
        </w:rPr>
        <w:t>- 1 балл.</w:t>
      </w:r>
    </w:p>
    <w:p w:rsidR="00D92208" w:rsidRDefault="00D92208" w:rsidP="00D92208">
      <w:pPr>
        <w:pStyle w:val="ConsPlusNormal"/>
        <w:ind w:firstLine="709"/>
        <w:jc w:val="both"/>
        <w:rPr>
          <w:sz w:val="28"/>
        </w:rPr>
      </w:pPr>
    </w:p>
    <w:p w:rsidR="00D92208" w:rsidRPr="00D92208" w:rsidRDefault="00D92208" w:rsidP="00D92208">
      <w:pPr>
        <w:pStyle w:val="ConsPlusNormal"/>
        <w:ind w:firstLine="709"/>
        <w:jc w:val="both"/>
        <w:rPr>
          <w:sz w:val="28"/>
        </w:rPr>
      </w:pPr>
      <w:proofErr w:type="gramStart"/>
      <w:r w:rsidRPr="00D92208">
        <w:rPr>
          <w:sz w:val="28"/>
        </w:rPr>
        <w:t xml:space="preserve">Итоговый балл </w:t>
      </w:r>
      <w:r>
        <w:rPr>
          <w:sz w:val="28"/>
        </w:rPr>
        <w:t>о</w:t>
      </w:r>
      <w:r w:rsidRPr="00D92208">
        <w:rPr>
          <w:sz w:val="28"/>
        </w:rPr>
        <w:t xml:space="preserve">рганизации равен сумме баллов, полученных при оценке </w:t>
      </w:r>
      <w:r w:rsidRPr="00D92208">
        <w:rPr>
          <w:sz w:val="28"/>
        </w:rPr>
        <w:lastRenderedPageBreak/>
        <w:t xml:space="preserve">критериев, установленных в </w:t>
      </w:r>
      <w:hyperlink w:anchor="P3928" w:history="1">
        <w:r w:rsidRPr="00D92208">
          <w:rPr>
            <w:sz w:val="28"/>
          </w:rPr>
          <w:t>пункте 30</w:t>
        </w:r>
      </w:hyperlink>
      <w:r w:rsidRPr="00D92208">
        <w:rPr>
          <w:sz w:val="28"/>
        </w:rPr>
        <w:t xml:space="preserve"> </w:t>
      </w:r>
      <w:r w:rsidR="004207E3" w:rsidRPr="00D92208">
        <w:rPr>
          <w:sz w:val="28"/>
        </w:rPr>
        <w:t>Порядка</w:t>
      </w:r>
      <w:r w:rsidR="004207E3" w:rsidRPr="00D92208">
        <w:rPr>
          <w:sz w:val="28"/>
          <w:szCs w:val="28"/>
        </w:rPr>
        <w:t xml:space="preserve"> </w:t>
      </w:r>
      <w:r w:rsidR="004207E3" w:rsidRPr="00734589">
        <w:rPr>
          <w:sz w:val="28"/>
          <w:szCs w:val="28"/>
        </w:rPr>
        <w:t>предоставления субсидий социально ориентированным некоммерческим организациям Ханты-Мансийского автономного округа - Югры, не являющимся государственными (муниципальными) учреждениями, на финансовое обеспечение затрат, связанных с предоставлением социальных услуг в сфере социального обслуживания</w:t>
      </w:r>
      <w:r w:rsidR="004207E3">
        <w:rPr>
          <w:sz w:val="28"/>
          <w:szCs w:val="28"/>
        </w:rPr>
        <w:t xml:space="preserve"> утвержденным </w:t>
      </w:r>
      <w:r w:rsidR="004207E3" w:rsidRPr="00B1107F">
        <w:rPr>
          <w:sz w:val="28"/>
          <w:szCs w:val="28"/>
        </w:rPr>
        <w:t>Постановлением Правительства ХМАО - Югры от 05.10.2018 № 339-п  "О государственной программе Ханты-Мансийского автономного округа - Югры "Социальное и</w:t>
      </w:r>
      <w:proofErr w:type="gramEnd"/>
      <w:r w:rsidR="004207E3" w:rsidRPr="00B1107F">
        <w:rPr>
          <w:sz w:val="28"/>
          <w:szCs w:val="28"/>
        </w:rPr>
        <w:t xml:space="preserve"> демографическое развитие»</w:t>
      </w:r>
      <w:r w:rsidR="004207E3">
        <w:rPr>
          <w:sz w:val="28"/>
          <w:szCs w:val="28"/>
        </w:rPr>
        <w:t xml:space="preserve"> (приложение 12) (далее Порядок)</w:t>
      </w:r>
      <w:r w:rsidRPr="00D92208">
        <w:rPr>
          <w:sz w:val="28"/>
        </w:rPr>
        <w:t>.</w:t>
      </w:r>
    </w:p>
    <w:p w:rsidR="00D92208" w:rsidRPr="00D92208" w:rsidRDefault="00D92208" w:rsidP="00D92208">
      <w:pPr>
        <w:pStyle w:val="ConsPlusNormal"/>
        <w:ind w:firstLine="709"/>
        <w:jc w:val="both"/>
        <w:rPr>
          <w:sz w:val="28"/>
        </w:rPr>
      </w:pPr>
      <w:r w:rsidRPr="00D92208">
        <w:rPr>
          <w:sz w:val="28"/>
        </w:rPr>
        <w:t xml:space="preserve">Победителем конкурса признается </w:t>
      </w:r>
      <w:r>
        <w:rPr>
          <w:sz w:val="28"/>
        </w:rPr>
        <w:t>о</w:t>
      </w:r>
      <w:r w:rsidRPr="00D92208">
        <w:rPr>
          <w:sz w:val="28"/>
        </w:rPr>
        <w:t>рганизация, набравшая наибольшее количество баллов.</w:t>
      </w:r>
    </w:p>
    <w:p w:rsidR="00D92208" w:rsidRDefault="00D92208" w:rsidP="00D92208">
      <w:pPr>
        <w:pStyle w:val="ConsPlusNormal"/>
        <w:ind w:firstLine="709"/>
        <w:jc w:val="both"/>
        <w:rPr>
          <w:sz w:val="28"/>
        </w:rPr>
      </w:pPr>
    </w:p>
    <w:p w:rsidR="00D92208" w:rsidRPr="00D92208" w:rsidRDefault="002A7709" w:rsidP="00D92208">
      <w:pPr>
        <w:pStyle w:val="ConsPlusNormal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10. </w:t>
      </w:r>
      <w:r w:rsidR="00D92208" w:rsidRPr="00D92208">
        <w:rPr>
          <w:b/>
          <w:sz w:val="28"/>
        </w:rPr>
        <w:t xml:space="preserve">Показатели результативности использования средств субсидии – </w:t>
      </w:r>
    </w:p>
    <w:p w:rsidR="00D92208" w:rsidRDefault="00D92208" w:rsidP="00D92208">
      <w:pPr>
        <w:pStyle w:val="ConsPlusNormal"/>
        <w:ind w:firstLine="709"/>
        <w:jc w:val="both"/>
        <w:rPr>
          <w:sz w:val="28"/>
        </w:rPr>
      </w:pPr>
    </w:p>
    <w:p w:rsidR="00D92208" w:rsidRDefault="002A7709" w:rsidP="00D92208">
      <w:pPr>
        <w:pStyle w:val="ConsPlusNormal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11. </w:t>
      </w:r>
      <w:r w:rsidR="00D92208" w:rsidRPr="00D92208">
        <w:rPr>
          <w:b/>
          <w:sz w:val="28"/>
        </w:rPr>
        <w:t>Наименование общественно полезных услуг, категорий потребителей общественно полезных услуг, объема общественно полезных услуг, в отношении которых проводится конкурсный отбор, показателей качества, стоимости един</w:t>
      </w:r>
      <w:r w:rsidR="00D92208">
        <w:rPr>
          <w:b/>
          <w:sz w:val="28"/>
        </w:rPr>
        <w:t>ицы общественно полезной услуги –</w:t>
      </w:r>
    </w:p>
    <w:p w:rsidR="00D92208" w:rsidRPr="00D92208" w:rsidRDefault="00D92208" w:rsidP="00D92208">
      <w:pPr>
        <w:pStyle w:val="ConsPlusNormal"/>
        <w:ind w:firstLine="709"/>
        <w:jc w:val="both"/>
        <w:rPr>
          <w:b/>
          <w:sz w:val="28"/>
        </w:rPr>
      </w:pPr>
    </w:p>
    <w:p w:rsidR="00D92208" w:rsidRPr="00D92208" w:rsidRDefault="002A7709" w:rsidP="00D92208">
      <w:pPr>
        <w:pStyle w:val="ConsPlusNormal"/>
        <w:ind w:firstLine="709"/>
        <w:jc w:val="both"/>
        <w:rPr>
          <w:sz w:val="28"/>
        </w:rPr>
      </w:pPr>
      <w:r>
        <w:rPr>
          <w:b/>
          <w:sz w:val="28"/>
        </w:rPr>
        <w:t xml:space="preserve">12. </w:t>
      </w:r>
      <w:r w:rsidR="00D92208" w:rsidRPr="00D92208">
        <w:rPr>
          <w:b/>
          <w:sz w:val="28"/>
        </w:rPr>
        <w:t>П</w:t>
      </w:r>
      <w:r w:rsidR="00D92208">
        <w:rPr>
          <w:b/>
          <w:sz w:val="28"/>
        </w:rPr>
        <w:t xml:space="preserve">рядок отмены конкурсного отбора – </w:t>
      </w:r>
      <w:r w:rsidR="00D92208" w:rsidRPr="00D92208">
        <w:rPr>
          <w:sz w:val="28"/>
          <w:szCs w:val="28"/>
        </w:rPr>
        <w:t>конкурсный отбор отменяется в</w:t>
      </w:r>
      <w:r w:rsidR="00D92208" w:rsidRPr="00D92208">
        <w:rPr>
          <w:sz w:val="28"/>
        </w:rPr>
        <w:t xml:space="preserve"> случае отсутствия заявок или в случае выявления в отношении всех Организаций, подавших заявки, обстоятельств (указанных в </w:t>
      </w:r>
      <w:hyperlink w:anchor="P3918" w:history="1">
        <w:r w:rsidR="00D92208" w:rsidRPr="00D92208">
          <w:rPr>
            <w:sz w:val="28"/>
          </w:rPr>
          <w:t>пункте 25</w:t>
        </w:r>
      </w:hyperlink>
      <w:r w:rsidR="00D92208" w:rsidRPr="00D92208">
        <w:rPr>
          <w:sz w:val="28"/>
        </w:rPr>
        <w:t xml:space="preserve"> Порядка</w:t>
      </w:r>
      <w:r w:rsidR="004207E3">
        <w:rPr>
          <w:sz w:val="28"/>
        </w:rPr>
        <w:t>).</w:t>
      </w:r>
    </w:p>
    <w:p w:rsidR="00D92208" w:rsidRDefault="00D92208" w:rsidP="00D92208">
      <w:pPr>
        <w:pStyle w:val="ConsPlusNormal"/>
        <w:ind w:firstLine="709"/>
        <w:jc w:val="both"/>
        <w:rPr>
          <w:sz w:val="28"/>
        </w:rPr>
      </w:pPr>
    </w:p>
    <w:p w:rsidR="00D92208" w:rsidRPr="00D92208" w:rsidRDefault="00D92208" w:rsidP="00D92208">
      <w:pPr>
        <w:pStyle w:val="ConsPlusNormal"/>
        <w:ind w:firstLine="709"/>
        <w:jc w:val="both"/>
        <w:rPr>
          <w:sz w:val="28"/>
        </w:rPr>
      </w:pPr>
      <w:r w:rsidRPr="00D92208">
        <w:rPr>
          <w:sz w:val="28"/>
        </w:rPr>
        <w:t>Организации, подавшие заявки, не допускаются конкурсной комиссией к участию в конкурсном отборе, в случае:</w:t>
      </w:r>
    </w:p>
    <w:p w:rsidR="00D92208" w:rsidRPr="00D92208" w:rsidRDefault="00D92208" w:rsidP="00D92208">
      <w:pPr>
        <w:pStyle w:val="ConsPlusNormal"/>
        <w:ind w:firstLine="709"/>
        <w:jc w:val="both"/>
        <w:rPr>
          <w:sz w:val="28"/>
        </w:rPr>
      </w:pPr>
      <w:r w:rsidRPr="00D92208">
        <w:rPr>
          <w:sz w:val="28"/>
        </w:rPr>
        <w:t xml:space="preserve">несоответствия требованиям и условиям, установленным </w:t>
      </w:r>
      <w:hyperlink w:anchor="P3821" w:history="1">
        <w:r w:rsidRPr="00D92208">
          <w:rPr>
            <w:sz w:val="28"/>
          </w:rPr>
          <w:t>пунктами 6</w:t>
        </w:r>
      </w:hyperlink>
      <w:r w:rsidRPr="00D92208">
        <w:rPr>
          <w:sz w:val="28"/>
        </w:rPr>
        <w:t xml:space="preserve"> и </w:t>
      </w:r>
      <w:hyperlink w:anchor="P3828" w:history="1">
        <w:r w:rsidRPr="00D92208">
          <w:rPr>
            <w:sz w:val="28"/>
          </w:rPr>
          <w:t>8</w:t>
        </w:r>
      </w:hyperlink>
      <w:r w:rsidRPr="00D92208">
        <w:rPr>
          <w:sz w:val="28"/>
        </w:rPr>
        <w:t xml:space="preserve"> Порядка;</w:t>
      </w:r>
    </w:p>
    <w:p w:rsidR="00D92208" w:rsidRPr="00D92208" w:rsidRDefault="00D92208" w:rsidP="00D92208">
      <w:pPr>
        <w:pStyle w:val="ConsPlusNormal"/>
        <w:ind w:firstLine="709"/>
        <w:jc w:val="both"/>
        <w:rPr>
          <w:sz w:val="28"/>
        </w:rPr>
      </w:pPr>
      <w:r w:rsidRPr="00D92208">
        <w:rPr>
          <w:sz w:val="28"/>
        </w:rPr>
        <w:t xml:space="preserve">несоответствия предоставляемых документов требованиям к форме и содержанию, установленных </w:t>
      </w:r>
      <w:hyperlink w:anchor="P3881" w:history="1">
        <w:r w:rsidRPr="00D92208">
          <w:rPr>
            <w:sz w:val="28"/>
          </w:rPr>
          <w:t>пунктами 16</w:t>
        </w:r>
      </w:hyperlink>
      <w:r w:rsidRPr="00D92208">
        <w:rPr>
          <w:sz w:val="28"/>
        </w:rPr>
        <w:t xml:space="preserve"> и </w:t>
      </w:r>
      <w:hyperlink w:anchor="P3885" w:history="1">
        <w:r w:rsidRPr="00D92208">
          <w:rPr>
            <w:sz w:val="28"/>
          </w:rPr>
          <w:t>18</w:t>
        </w:r>
      </w:hyperlink>
      <w:r w:rsidRPr="00D92208">
        <w:rPr>
          <w:sz w:val="28"/>
        </w:rPr>
        <w:t xml:space="preserve"> Порядка;</w:t>
      </w:r>
    </w:p>
    <w:p w:rsidR="00D92208" w:rsidRPr="00D92208" w:rsidRDefault="00D92208" w:rsidP="00D92208">
      <w:pPr>
        <w:pStyle w:val="ConsPlusNormal"/>
        <w:ind w:firstLine="709"/>
        <w:jc w:val="both"/>
        <w:rPr>
          <w:sz w:val="28"/>
        </w:rPr>
      </w:pPr>
      <w:r w:rsidRPr="00D92208">
        <w:rPr>
          <w:sz w:val="28"/>
        </w:rPr>
        <w:t xml:space="preserve">непредставления (предоставления не в полном объеме) документов, предусмотренных </w:t>
      </w:r>
      <w:hyperlink w:anchor="P3885" w:history="1">
        <w:r w:rsidRPr="00D92208">
          <w:rPr>
            <w:sz w:val="28"/>
          </w:rPr>
          <w:t>пунктом 18</w:t>
        </w:r>
      </w:hyperlink>
      <w:r w:rsidRPr="00D92208">
        <w:rPr>
          <w:sz w:val="28"/>
        </w:rPr>
        <w:t xml:space="preserve"> Порядка;</w:t>
      </w:r>
    </w:p>
    <w:p w:rsidR="00D92208" w:rsidRPr="00D92208" w:rsidRDefault="00D92208" w:rsidP="00D92208">
      <w:pPr>
        <w:pStyle w:val="ConsPlusNormal"/>
        <w:ind w:firstLine="709"/>
        <w:jc w:val="both"/>
        <w:rPr>
          <w:sz w:val="28"/>
        </w:rPr>
      </w:pPr>
      <w:r w:rsidRPr="00D92208">
        <w:rPr>
          <w:sz w:val="28"/>
        </w:rPr>
        <w:t>представления недостоверной информации.</w:t>
      </w:r>
    </w:p>
    <w:p w:rsidR="004207E3" w:rsidRPr="004207E3" w:rsidRDefault="004207E3" w:rsidP="004207E3">
      <w:pPr>
        <w:pStyle w:val="ConsPlusNormal"/>
        <w:ind w:firstLine="709"/>
        <w:jc w:val="both"/>
        <w:rPr>
          <w:sz w:val="28"/>
        </w:rPr>
      </w:pPr>
      <w:proofErr w:type="gramStart"/>
      <w:r w:rsidRPr="004207E3">
        <w:rPr>
          <w:sz w:val="28"/>
        </w:rPr>
        <w:t xml:space="preserve">В случае отсутствия заявок или в случае выявления в отношении всех Организаций, подавших заявки, обстоятельств, указанных в </w:t>
      </w:r>
      <w:hyperlink w:anchor="P3918" w:history="1">
        <w:r w:rsidRPr="004207E3">
          <w:rPr>
            <w:sz w:val="28"/>
          </w:rPr>
          <w:t>пункте 25</w:t>
        </w:r>
      </w:hyperlink>
      <w:r w:rsidRPr="004207E3">
        <w:rPr>
          <w:sz w:val="28"/>
        </w:rPr>
        <w:t xml:space="preserve"> Порядка, конкурсный отбор признается несостоявшимся, о чем конкурсная комиссия в срок не позднее 7 рабочих дней со дня завершения приема заявок оформляет протокол, который размещает на официальном сайте в информационно-телекоммуникационной сети Интернет Управления.</w:t>
      </w:r>
      <w:proofErr w:type="gramEnd"/>
    </w:p>
    <w:p w:rsidR="00D92208" w:rsidRPr="00D92208" w:rsidRDefault="00D92208" w:rsidP="00D92208">
      <w:pPr>
        <w:pStyle w:val="ConsPlusNormal"/>
        <w:ind w:firstLine="709"/>
        <w:jc w:val="both"/>
        <w:rPr>
          <w:sz w:val="28"/>
        </w:rPr>
      </w:pPr>
    </w:p>
    <w:p w:rsidR="004207E3" w:rsidRPr="004207E3" w:rsidRDefault="002A7709" w:rsidP="004207E3">
      <w:pPr>
        <w:pStyle w:val="ConsPlusNormal"/>
        <w:ind w:firstLine="709"/>
        <w:jc w:val="both"/>
        <w:rPr>
          <w:sz w:val="28"/>
        </w:rPr>
      </w:pPr>
      <w:r>
        <w:rPr>
          <w:b/>
          <w:sz w:val="28"/>
        </w:rPr>
        <w:t xml:space="preserve">13. </w:t>
      </w:r>
      <w:r w:rsidR="00D92208" w:rsidRPr="00D92208">
        <w:rPr>
          <w:b/>
          <w:sz w:val="28"/>
        </w:rPr>
        <w:t>Порядок подачи предложений участниками конкурсного отбора, а также порядок измен</w:t>
      </w:r>
      <w:r w:rsidR="00D92208">
        <w:rPr>
          <w:b/>
          <w:sz w:val="28"/>
        </w:rPr>
        <w:t>ения и отзыва таких предложений</w:t>
      </w:r>
      <w:r w:rsidR="004207E3">
        <w:rPr>
          <w:b/>
          <w:sz w:val="28"/>
        </w:rPr>
        <w:t xml:space="preserve"> –</w:t>
      </w:r>
      <w:r w:rsidR="00D92208">
        <w:rPr>
          <w:b/>
          <w:sz w:val="28"/>
        </w:rPr>
        <w:t xml:space="preserve"> </w:t>
      </w:r>
      <w:r w:rsidR="004207E3">
        <w:rPr>
          <w:b/>
          <w:sz w:val="28"/>
        </w:rPr>
        <w:t>з</w:t>
      </w:r>
      <w:r w:rsidR="004207E3" w:rsidRPr="004207E3">
        <w:rPr>
          <w:sz w:val="28"/>
        </w:rPr>
        <w:t>аявки и предложения могут быть отозваны до окончания срока их приема путем направления Организацией в Управление соответствующего обращения. Отозванные заявки не учитываются при подсчете количества заявок, представленных для участия в конкурсном отборе.</w:t>
      </w:r>
    </w:p>
    <w:p w:rsidR="004207E3" w:rsidRPr="004207E3" w:rsidRDefault="004207E3" w:rsidP="004207E3">
      <w:pPr>
        <w:pStyle w:val="ConsPlusNormal"/>
        <w:ind w:firstLine="709"/>
        <w:jc w:val="both"/>
        <w:rPr>
          <w:sz w:val="28"/>
        </w:rPr>
      </w:pPr>
    </w:p>
    <w:sectPr w:rsidR="004207E3" w:rsidRPr="004207E3" w:rsidSect="00EA4916">
      <w:pgSz w:w="11906" w:h="16838" w:code="9"/>
      <w:pgMar w:top="1134" w:right="99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4A6" w:rsidRDefault="00A174A6" w:rsidP="00A57D2F">
      <w:pPr>
        <w:spacing w:after="0" w:line="240" w:lineRule="auto"/>
      </w:pPr>
      <w:r>
        <w:separator/>
      </w:r>
    </w:p>
  </w:endnote>
  <w:endnote w:type="continuationSeparator" w:id="0">
    <w:p w:rsidR="00A174A6" w:rsidRDefault="00A174A6" w:rsidP="00A5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4A6" w:rsidRDefault="00A174A6" w:rsidP="00A57D2F">
      <w:pPr>
        <w:spacing w:after="0" w:line="240" w:lineRule="auto"/>
      </w:pPr>
      <w:r>
        <w:separator/>
      </w:r>
    </w:p>
  </w:footnote>
  <w:footnote w:type="continuationSeparator" w:id="0">
    <w:p w:rsidR="00A174A6" w:rsidRDefault="00A174A6" w:rsidP="00A57D2F">
      <w:pPr>
        <w:spacing w:after="0" w:line="240" w:lineRule="auto"/>
      </w:pPr>
      <w:r>
        <w:continuationSeparator/>
      </w:r>
    </w:p>
  </w:footnote>
  <w:footnote w:id="1">
    <w:p w:rsidR="00A57D2F" w:rsidRDefault="00A57D2F">
      <w:pPr>
        <w:pStyle w:val="a8"/>
      </w:pPr>
      <w:r>
        <w:rPr>
          <w:rStyle w:val="aa"/>
        </w:rPr>
        <w:footnoteRef/>
      </w:r>
      <w:r>
        <w:t xml:space="preserve"> В</w:t>
      </w:r>
      <w:r w:rsidRPr="003536B0">
        <w:rPr>
          <w:rFonts w:ascii="Times New Roman" w:hAnsi="Times New Roman"/>
          <w:szCs w:val="24"/>
        </w:rPr>
        <w:t xml:space="preserve"> помещениях обеспечивается естественное и искусственное освещение. Помещения должны отвечать действующим санитарно-гигиеническим требованиям и нормативам, в т.ч. противопожарным требованиям, должны быть обеспечены всеми средствами коммунально-бытового благоустройства и доступны для получателей социальных услуг. Помещения, предоставляемые для организации реабилитационных мероприятий, бытового обслуживания, культурно-досуговой деятельности, по размерам, конфигурации и расположению должны обеспечивать проведение в них всех упомянутых выше мероприятий с учетом специфики обслуживаемого контингента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67842"/>
    <w:multiLevelType w:val="hybridMultilevel"/>
    <w:tmpl w:val="EFB8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D52F1"/>
    <w:multiLevelType w:val="hybridMultilevel"/>
    <w:tmpl w:val="EFB8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172C9"/>
    <w:multiLevelType w:val="multilevel"/>
    <w:tmpl w:val="CCCA11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6F31"/>
    <w:rsid w:val="00023E79"/>
    <w:rsid w:val="000A0D74"/>
    <w:rsid w:val="000B21BF"/>
    <w:rsid w:val="001537D3"/>
    <w:rsid w:val="001741C2"/>
    <w:rsid w:val="001918BF"/>
    <w:rsid w:val="001B3BDE"/>
    <w:rsid w:val="001B6EED"/>
    <w:rsid w:val="001C4081"/>
    <w:rsid w:val="001C4664"/>
    <w:rsid w:val="001D6016"/>
    <w:rsid w:val="001E25DE"/>
    <w:rsid w:val="001E4353"/>
    <w:rsid w:val="002A7709"/>
    <w:rsid w:val="002B6400"/>
    <w:rsid w:val="002D2283"/>
    <w:rsid w:val="002D3CF6"/>
    <w:rsid w:val="002D3E1A"/>
    <w:rsid w:val="002D4548"/>
    <w:rsid w:val="002D6593"/>
    <w:rsid w:val="00352CEB"/>
    <w:rsid w:val="0038631C"/>
    <w:rsid w:val="003C0796"/>
    <w:rsid w:val="003E3222"/>
    <w:rsid w:val="003E38D0"/>
    <w:rsid w:val="00400335"/>
    <w:rsid w:val="004207E3"/>
    <w:rsid w:val="0042740F"/>
    <w:rsid w:val="00440346"/>
    <w:rsid w:val="004615CD"/>
    <w:rsid w:val="00463450"/>
    <w:rsid w:val="004878C9"/>
    <w:rsid w:val="0054640F"/>
    <w:rsid w:val="0055796D"/>
    <w:rsid w:val="00586F31"/>
    <w:rsid w:val="0058741C"/>
    <w:rsid w:val="005B0150"/>
    <w:rsid w:val="005D64EA"/>
    <w:rsid w:val="005E2945"/>
    <w:rsid w:val="005E2B84"/>
    <w:rsid w:val="005E7A92"/>
    <w:rsid w:val="00605960"/>
    <w:rsid w:val="0064181A"/>
    <w:rsid w:val="00667E83"/>
    <w:rsid w:val="00670098"/>
    <w:rsid w:val="00692E24"/>
    <w:rsid w:val="00693B2A"/>
    <w:rsid w:val="00696860"/>
    <w:rsid w:val="006E290D"/>
    <w:rsid w:val="006F6CC2"/>
    <w:rsid w:val="00701D01"/>
    <w:rsid w:val="00785EEB"/>
    <w:rsid w:val="00786A8D"/>
    <w:rsid w:val="007C2C36"/>
    <w:rsid w:val="007F0B55"/>
    <w:rsid w:val="008222C6"/>
    <w:rsid w:val="0084259F"/>
    <w:rsid w:val="0085277F"/>
    <w:rsid w:val="00855C4B"/>
    <w:rsid w:val="0086401B"/>
    <w:rsid w:val="008A1158"/>
    <w:rsid w:val="00916F4C"/>
    <w:rsid w:val="00966834"/>
    <w:rsid w:val="009C15AE"/>
    <w:rsid w:val="009D59EF"/>
    <w:rsid w:val="00A12ABB"/>
    <w:rsid w:val="00A174A6"/>
    <w:rsid w:val="00A57D2F"/>
    <w:rsid w:val="00AA261C"/>
    <w:rsid w:val="00AE4980"/>
    <w:rsid w:val="00B01652"/>
    <w:rsid w:val="00B06A23"/>
    <w:rsid w:val="00B40EF9"/>
    <w:rsid w:val="00B73D84"/>
    <w:rsid w:val="00BE2FD2"/>
    <w:rsid w:val="00BF0C4B"/>
    <w:rsid w:val="00C01CAA"/>
    <w:rsid w:val="00C150D8"/>
    <w:rsid w:val="00C72193"/>
    <w:rsid w:val="00C8448E"/>
    <w:rsid w:val="00CA5475"/>
    <w:rsid w:val="00CE0C44"/>
    <w:rsid w:val="00D52F5D"/>
    <w:rsid w:val="00D92208"/>
    <w:rsid w:val="00DA0D7D"/>
    <w:rsid w:val="00DC04E2"/>
    <w:rsid w:val="00E46BB2"/>
    <w:rsid w:val="00E87AFD"/>
    <w:rsid w:val="00EA4916"/>
    <w:rsid w:val="00EB3945"/>
    <w:rsid w:val="00EB68DF"/>
    <w:rsid w:val="00EB6943"/>
    <w:rsid w:val="00EF5FCB"/>
    <w:rsid w:val="00F17851"/>
    <w:rsid w:val="00F639A0"/>
    <w:rsid w:val="00F64C94"/>
    <w:rsid w:val="00F653E4"/>
    <w:rsid w:val="00F7338E"/>
    <w:rsid w:val="00FC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F31"/>
    <w:pPr>
      <w:ind w:left="720"/>
      <w:contextualSpacing/>
    </w:pPr>
  </w:style>
  <w:style w:type="paragraph" w:customStyle="1" w:styleId="ConsPlusNormal">
    <w:name w:val="ConsPlusNormal"/>
    <w:rsid w:val="00586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86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жатый влево"/>
    <w:basedOn w:val="a"/>
    <w:next w:val="a"/>
    <w:uiPriority w:val="99"/>
    <w:rsid w:val="0067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54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57D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A57D2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57D2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57D2F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785EEB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85EEB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785E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F31"/>
    <w:pPr>
      <w:ind w:left="720"/>
      <w:contextualSpacing/>
    </w:pPr>
  </w:style>
  <w:style w:type="paragraph" w:customStyle="1" w:styleId="ConsPlusNormal">
    <w:name w:val="ConsPlusNormal"/>
    <w:rsid w:val="00586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86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жатый влево"/>
    <w:basedOn w:val="a"/>
    <w:next w:val="a"/>
    <w:uiPriority w:val="99"/>
    <w:rsid w:val="0067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54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57D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A57D2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57D2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57D2F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785EEB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85EEB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785E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2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676AC-BB5C-4115-A0AC-7EBB7BF7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Сургутский районный центр социальной ададптации"</Company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Лошкарева Татьяна А.</cp:lastModifiedBy>
  <cp:revision>17</cp:revision>
  <cp:lastPrinted>2020-10-21T10:38:00Z</cp:lastPrinted>
  <dcterms:created xsi:type="dcterms:W3CDTF">2021-05-18T06:16:00Z</dcterms:created>
  <dcterms:modified xsi:type="dcterms:W3CDTF">2021-09-29T10:47:00Z</dcterms:modified>
</cp:coreProperties>
</file>